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EECF" w14:textId="5BF913B2" w:rsidR="00194D91" w:rsidRDefault="00F02D46" w:rsidP="007B66E3">
      <w:pPr>
        <w:pStyle w:val="Heading1"/>
        <w:spacing w:before="77" w:line="436" w:lineRule="auto"/>
        <w:ind w:left="2388" w:right="2306"/>
      </w:pPr>
      <w:r>
        <w:t>INSURANCELINK</w:t>
      </w:r>
      <w:r>
        <w:rPr>
          <w:spacing w:val="-14"/>
        </w:rPr>
        <w:t xml:space="preserve"> </w:t>
      </w:r>
      <w:r>
        <w:t>CRITERIA</w:t>
      </w:r>
      <w:r>
        <w:rPr>
          <w:spacing w:val="-14"/>
        </w:rPr>
        <w:t xml:space="preserve"> </w:t>
      </w:r>
      <w:r>
        <w:t>FOR</w:t>
      </w:r>
      <w:r>
        <w:rPr>
          <w:spacing w:val="-14"/>
        </w:rPr>
        <w:t xml:space="preserve"> </w:t>
      </w:r>
      <w:r>
        <w:t>ACCESS</w:t>
      </w:r>
    </w:p>
    <w:p w14:paraId="7E7841B4" w14:textId="77777777" w:rsidR="00194D91" w:rsidRDefault="00194D91">
      <w:pPr>
        <w:pStyle w:val="BodyText"/>
        <w:spacing w:before="206"/>
        <w:ind w:left="0" w:right="0"/>
        <w:jc w:val="left"/>
        <w:rPr>
          <w:b/>
        </w:rPr>
      </w:pPr>
    </w:p>
    <w:p w14:paraId="667D93AB" w14:textId="77777777" w:rsidR="00194D91" w:rsidRDefault="00F02D46">
      <w:pPr>
        <w:spacing w:before="1"/>
        <w:ind w:left="100"/>
        <w:rPr>
          <w:b/>
        </w:rPr>
      </w:pPr>
      <w:r>
        <w:rPr>
          <w:b/>
          <w:spacing w:val="-2"/>
        </w:rPr>
        <w:t>DEFINITIONS</w:t>
      </w:r>
    </w:p>
    <w:p w14:paraId="7A96FBEE" w14:textId="13A468DB" w:rsidR="00194D91" w:rsidRDefault="00F02D46">
      <w:pPr>
        <w:pStyle w:val="BodyText"/>
        <w:spacing w:line="228" w:lineRule="auto"/>
        <w:ind w:right="112"/>
      </w:pPr>
      <w:r>
        <w:rPr>
          <w:b/>
        </w:rPr>
        <w:t xml:space="preserve">Code </w:t>
      </w:r>
      <w:r>
        <w:t>means the</w:t>
      </w:r>
      <w:r w:rsidR="007B66E3">
        <w:t xml:space="preserve"> </w:t>
      </w:r>
      <w:hyperlink r:id="rId7" w:history="1">
        <w:r w:rsidR="00466291" w:rsidRPr="00385886">
          <w:rPr>
            <w:rStyle w:val="Hyperlink"/>
          </w:rPr>
          <w:t>https://insuranceireland.eu/about-us/data-protection-guidance/data-protection-guidance-2024/</w:t>
        </w:r>
      </w:hyperlink>
      <w:r w:rsidR="00466291">
        <w:t xml:space="preserve"> </w:t>
      </w:r>
      <w:r>
        <w:rPr>
          <w:color w:val="0000FF"/>
        </w:rPr>
        <w:t xml:space="preserve"> </w:t>
      </w:r>
      <w:r>
        <w:t xml:space="preserve">(as amended from time to time), which is available on the website of Insurance </w:t>
      </w:r>
      <w:r>
        <w:rPr>
          <w:spacing w:val="-2"/>
        </w:rPr>
        <w:t>Ireland;</w:t>
      </w:r>
    </w:p>
    <w:p w14:paraId="0D4BE07C" w14:textId="77777777" w:rsidR="00194D91" w:rsidRDefault="00F02D46">
      <w:pPr>
        <w:pStyle w:val="BodyText"/>
        <w:spacing w:before="209"/>
        <w:ind w:right="0"/>
        <w:jc w:val="left"/>
      </w:pPr>
      <w:r>
        <w:rPr>
          <w:b/>
        </w:rPr>
        <w:t>EEA</w:t>
      </w:r>
      <w:r>
        <w:rPr>
          <w:b/>
          <w:spacing w:val="-3"/>
        </w:rPr>
        <w:t xml:space="preserve"> </w:t>
      </w:r>
      <w:r>
        <w:t>means</w:t>
      </w:r>
      <w:r>
        <w:rPr>
          <w:spacing w:val="-1"/>
        </w:rPr>
        <w:t xml:space="preserve"> </w:t>
      </w:r>
      <w:r>
        <w:t>the</w:t>
      </w:r>
      <w:r>
        <w:rPr>
          <w:spacing w:val="-3"/>
        </w:rPr>
        <w:t xml:space="preserve"> </w:t>
      </w:r>
      <w:r>
        <w:t>European</w:t>
      </w:r>
      <w:r>
        <w:rPr>
          <w:spacing w:val="-2"/>
        </w:rPr>
        <w:t xml:space="preserve"> </w:t>
      </w:r>
      <w:r>
        <w:t>Economic</w:t>
      </w:r>
      <w:r>
        <w:rPr>
          <w:spacing w:val="-13"/>
        </w:rPr>
        <w:t xml:space="preserve"> </w:t>
      </w:r>
      <w:r>
        <w:rPr>
          <w:spacing w:val="-4"/>
        </w:rPr>
        <w:t>Area;</w:t>
      </w:r>
    </w:p>
    <w:p w14:paraId="32EFB4D0" w14:textId="77777777" w:rsidR="00194D91" w:rsidRDefault="00F02D46">
      <w:pPr>
        <w:spacing w:before="207"/>
        <w:ind w:left="100"/>
      </w:pPr>
      <w:r>
        <w:rPr>
          <w:b/>
        </w:rPr>
        <w:t>Eligible</w:t>
      </w:r>
      <w:r>
        <w:rPr>
          <w:b/>
          <w:spacing w:val="-5"/>
        </w:rPr>
        <w:t xml:space="preserve"> </w:t>
      </w:r>
      <w:r>
        <w:rPr>
          <w:b/>
        </w:rPr>
        <w:t>Entity</w:t>
      </w:r>
      <w:r>
        <w:rPr>
          <w:b/>
          <w:spacing w:val="-3"/>
        </w:rPr>
        <w:t xml:space="preserve"> </w:t>
      </w:r>
      <w:r>
        <w:t>means</w:t>
      </w:r>
      <w:r>
        <w:rPr>
          <w:spacing w:val="-2"/>
        </w:rPr>
        <w:t xml:space="preserve"> </w:t>
      </w:r>
      <w:r>
        <w:t>an</w:t>
      </w:r>
      <w:r>
        <w:rPr>
          <w:spacing w:val="-2"/>
        </w:rPr>
        <w:t xml:space="preserve"> </w:t>
      </w:r>
      <w:r>
        <w:t>Insurer</w:t>
      </w:r>
      <w:r>
        <w:rPr>
          <w:spacing w:val="-2"/>
        </w:rPr>
        <w:t xml:space="preserve"> </w:t>
      </w:r>
      <w:r>
        <w:t>or</w:t>
      </w:r>
      <w:r>
        <w:rPr>
          <w:spacing w:val="-1"/>
        </w:rPr>
        <w:t xml:space="preserve"> </w:t>
      </w:r>
      <w:r>
        <w:t>Self-</w:t>
      </w:r>
      <w:r>
        <w:rPr>
          <w:spacing w:val="-2"/>
        </w:rPr>
        <w:t>Insured;</w:t>
      </w:r>
    </w:p>
    <w:p w14:paraId="30F85925" w14:textId="77777777" w:rsidR="00194D91" w:rsidRDefault="00F02D46">
      <w:pPr>
        <w:spacing w:before="207"/>
        <w:ind w:left="100"/>
      </w:pPr>
      <w:r>
        <w:rPr>
          <w:b/>
        </w:rPr>
        <w:t>InsuranceLink</w:t>
      </w:r>
      <w:r>
        <w:rPr>
          <w:b/>
          <w:spacing w:val="-14"/>
        </w:rPr>
        <w:t xml:space="preserve"> </w:t>
      </w:r>
      <w:r>
        <w:rPr>
          <w:b/>
        </w:rPr>
        <w:t>Applicant</w:t>
      </w:r>
      <w:r>
        <w:rPr>
          <w:b/>
          <w:spacing w:val="-3"/>
        </w:rPr>
        <w:t xml:space="preserve"> </w:t>
      </w:r>
      <w:r>
        <w:t>means</w:t>
      </w:r>
      <w:r>
        <w:rPr>
          <w:spacing w:val="-2"/>
        </w:rPr>
        <w:t xml:space="preserve"> </w:t>
      </w:r>
      <w:r>
        <w:t>an</w:t>
      </w:r>
      <w:r>
        <w:rPr>
          <w:spacing w:val="-2"/>
        </w:rPr>
        <w:t xml:space="preserve"> </w:t>
      </w:r>
      <w:r>
        <w:t>entity</w:t>
      </w:r>
      <w:r>
        <w:rPr>
          <w:spacing w:val="-1"/>
        </w:rPr>
        <w:t xml:space="preserve"> </w:t>
      </w:r>
      <w:r>
        <w:t>applying</w:t>
      </w:r>
      <w:r>
        <w:rPr>
          <w:spacing w:val="-2"/>
        </w:rPr>
        <w:t xml:space="preserve"> </w:t>
      </w:r>
      <w:r>
        <w:t>to</w:t>
      </w:r>
      <w:r>
        <w:rPr>
          <w:spacing w:val="-2"/>
        </w:rPr>
        <w:t xml:space="preserve"> </w:t>
      </w:r>
      <w:r>
        <w:t>use</w:t>
      </w:r>
      <w:r>
        <w:rPr>
          <w:spacing w:val="-2"/>
        </w:rPr>
        <w:t xml:space="preserve"> InsuranceLink;</w:t>
      </w:r>
    </w:p>
    <w:p w14:paraId="4280A227" w14:textId="0B2C275A" w:rsidR="00194D91" w:rsidRDefault="00F02D46">
      <w:pPr>
        <w:pStyle w:val="BodyText"/>
        <w:spacing w:line="228" w:lineRule="auto"/>
      </w:pPr>
      <w:r>
        <w:rPr>
          <w:b/>
        </w:rPr>
        <w:t>InsuranceLink</w:t>
      </w:r>
      <w:r>
        <w:rPr>
          <w:b/>
          <w:spacing w:val="-5"/>
        </w:rPr>
        <w:t xml:space="preserve"> </w:t>
      </w:r>
      <w:r>
        <w:rPr>
          <w:b/>
        </w:rPr>
        <w:t xml:space="preserve">Application Form </w:t>
      </w:r>
      <w:r>
        <w:t>means the form for Insurer Users</w:t>
      </w:r>
      <w:r w:rsidR="0026658C">
        <w:t xml:space="preserve"> </w:t>
      </w:r>
      <w:hyperlink r:id="rId8" w:history="1">
        <w:r w:rsidR="0026658C" w:rsidRPr="0026658C">
          <w:rPr>
            <w:rStyle w:val="Hyperlink"/>
          </w:rPr>
          <w:t>he</w:t>
        </w:r>
        <w:r w:rsidR="0026658C" w:rsidRPr="0026658C">
          <w:rPr>
            <w:rStyle w:val="Hyperlink"/>
          </w:rPr>
          <w:t>r</w:t>
        </w:r>
        <w:r w:rsidR="0026658C" w:rsidRPr="0026658C">
          <w:rPr>
            <w:rStyle w:val="Hyperlink"/>
          </w:rPr>
          <w:t>e</w:t>
        </w:r>
      </w:hyperlink>
      <w:r w:rsidR="0026658C">
        <w:t xml:space="preserve"> </w:t>
      </w:r>
      <w:r>
        <w:t xml:space="preserve">or Self-Insured Users </w:t>
      </w:r>
      <w:hyperlink r:id="rId9" w:history="1">
        <w:r w:rsidR="0026658C" w:rsidRPr="0026658C">
          <w:rPr>
            <w:rStyle w:val="Hyperlink"/>
          </w:rPr>
          <w:t>h</w:t>
        </w:r>
        <w:r w:rsidR="0026658C" w:rsidRPr="0026658C">
          <w:rPr>
            <w:rStyle w:val="Hyperlink"/>
          </w:rPr>
          <w:t>e</w:t>
        </w:r>
        <w:r w:rsidR="0026658C" w:rsidRPr="0026658C">
          <w:rPr>
            <w:rStyle w:val="Hyperlink"/>
          </w:rPr>
          <w:t>re</w:t>
        </w:r>
      </w:hyperlink>
      <w:r>
        <w:rPr>
          <w:color w:val="0072CE"/>
        </w:rPr>
        <w:t xml:space="preserve"> </w:t>
      </w:r>
      <w:r>
        <w:t>to be completed and submitted to the InsuranceLink Application Officer as part of an application to become an InsuranceLink User, which is available on the Insurance Ireland website</w:t>
      </w:r>
      <w:r w:rsidR="00466291">
        <w:t xml:space="preserve"> </w:t>
      </w:r>
      <w:hyperlink r:id="rId10" w:history="1">
        <w:r w:rsidR="00466291" w:rsidRPr="00466291">
          <w:rPr>
            <w:rStyle w:val="Hyperlink"/>
          </w:rPr>
          <w:t>here</w:t>
        </w:r>
      </w:hyperlink>
      <w:r w:rsidR="00466291">
        <w:t xml:space="preserve"> </w:t>
      </w:r>
      <w:r>
        <w:t>and the InsuranceLink website</w:t>
      </w:r>
      <w:r w:rsidR="0026658C">
        <w:t xml:space="preserve"> </w:t>
      </w:r>
      <w:hyperlink r:id="rId11" w:history="1">
        <w:r w:rsidR="0026658C" w:rsidRPr="0026658C">
          <w:rPr>
            <w:rStyle w:val="Hyperlink"/>
          </w:rPr>
          <w:t>here</w:t>
        </w:r>
      </w:hyperlink>
      <w:r>
        <w:t>);</w:t>
      </w:r>
    </w:p>
    <w:p w14:paraId="5BD99778" w14:textId="77777777" w:rsidR="00194D91" w:rsidRDefault="00F02D46">
      <w:pPr>
        <w:pStyle w:val="BodyText"/>
        <w:spacing w:before="219" w:line="228" w:lineRule="auto"/>
      </w:pPr>
      <w:r>
        <w:rPr>
          <w:b/>
        </w:rPr>
        <w:t xml:space="preserve">InsuranceLink Application Officer </w:t>
      </w:r>
      <w:r>
        <w:t>means the individual(s) of a sufficient level of seniority (i.e. manager level or above) designated by Insurance Ireland to process and determine applications for access to InsuranceLink pursuant to the InsuranceLink Application Procedure;</w:t>
      </w:r>
    </w:p>
    <w:p w14:paraId="4594C69D" w14:textId="77777777" w:rsidR="00194D91" w:rsidRDefault="00F02D46">
      <w:pPr>
        <w:pStyle w:val="BodyText"/>
        <w:spacing w:before="219" w:line="228" w:lineRule="auto"/>
        <w:ind w:right="118"/>
      </w:pPr>
      <w:r>
        <w:rPr>
          <w:b/>
        </w:rPr>
        <w:t xml:space="preserve">InsuranceLink Confirmation Letter </w:t>
      </w:r>
      <w:r>
        <w:t>means the standard form letter attached to the InsuranceLink Application Form addressing matters relating to delegated authority from an Insurer;</w:t>
      </w:r>
    </w:p>
    <w:p w14:paraId="77943DB6" w14:textId="459C90B4" w:rsidR="00194D91" w:rsidRDefault="00F02D46">
      <w:pPr>
        <w:pStyle w:val="BodyText"/>
        <w:spacing w:before="219" w:line="228" w:lineRule="auto"/>
      </w:pPr>
      <w:r>
        <w:rPr>
          <w:b/>
        </w:rPr>
        <w:t xml:space="preserve">InsuranceLink Terms of Access Agreement </w:t>
      </w:r>
      <w:r>
        <w:t xml:space="preserve">means the standard-form agreement setting out the terms and conditions of use of InsuranceLink to be entered into between Insurance Ireland and each InsuranceLink User, which is available on the Insurance Ireland website </w:t>
      </w:r>
      <w:hyperlink r:id="rId12" w:history="1">
        <w:r w:rsidR="0026658C" w:rsidRPr="0026658C">
          <w:rPr>
            <w:rStyle w:val="Hyperlink"/>
          </w:rPr>
          <w:t>he</w:t>
        </w:r>
        <w:r w:rsidR="0026658C" w:rsidRPr="0026658C">
          <w:rPr>
            <w:rStyle w:val="Hyperlink"/>
          </w:rPr>
          <w:t>r</w:t>
        </w:r>
        <w:r w:rsidR="0026658C" w:rsidRPr="0026658C">
          <w:rPr>
            <w:rStyle w:val="Hyperlink"/>
          </w:rPr>
          <w:t>e</w:t>
        </w:r>
      </w:hyperlink>
      <w:r>
        <w:rPr>
          <w:color w:val="0072CE"/>
        </w:rPr>
        <w:t xml:space="preserve"> </w:t>
      </w:r>
      <w:r>
        <w:t>and the InsuranceLink website</w:t>
      </w:r>
      <w:r w:rsidR="0026658C">
        <w:t xml:space="preserve"> </w:t>
      </w:r>
      <w:hyperlink r:id="rId13" w:history="1">
        <w:r w:rsidR="0026658C" w:rsidRPr="0026658C">
          <w:rPr>
            <w:rStyle w:val="Hyperlink"/>
          </w:rPr>
          <w:t>he</w:t>
        </w:r>
        <w:r w:rsidR="0026658C" w:rsidRPr="0026658C">
          <w:rPr>
            <w:rStyle w:val="Hyperlink"/>
          </w:rPr>
          <w:t>r</w:t>
        </w:r>
        <w:r w:rsidR="0026658C" w:rsidRPr="0026658C">
          <w:rPr>
            <w:rStyle w:val="Hyperlink"/>
          </w:rPr>
          <w:t>e</w:t>
        </w:r>
      </w:hyperlink>
      <w:r>
        <w:t>);</w:t>
      </w:r>
    </w:p>
    <w:p w14:paraId="0D1076AA" w14:textId="77777777" w:rsidR="00194D91" w:rsidRDefault="00F02D46">
      <w:pPr>
        <w:spacing w:before="208"/>
        <w:ind w:left="100"/>
      </w:pPr>
      <w:r>
        <w:rPr>
          <w:b/>
        </w:rPr>
        <w:t>InsuranceLink</w:t>
      </w:r>
      <w:r>
        <w:rPr>
          <w:b/>
          <w:spacing w:val="-2"/>
        </w:rPr>
        <w:t xml:space="preserve"> </w:t>
      </w:r>
      <w:r>
        <w:rPr>
          <w:b/>
        </w:rPr>
        <w:t>User</w:t>
      </w:r>
      <w:r>
        <w:rPr>
          <w:b/>
          <w:spacing w:val="-3"/>
        </w:rPr>
        <w:t xml:space="preserve"> </w:t>
      </w:r>
      <w:r>
        <w:t>means</w:t>
      </w:r>
      <w:r>
        <w:rPr>
          <w:spacing w:val="-2"/>
        </w:rPr>
        <w:t xml:space="preserve"> </w:t>
      </w:r>
      <w:r>
        <w:t>an</w:t>
      </w:r>
      <w:r>
        <w:rPr>
          <w:spacing w:val="-2"/>
        </w:rPr>
        <w:t xml:space="preserve"> </w:t>
      </w:r>
      <w:r>
        <w:t>entity</w:t>
      </w:r>
      <w:r>
        <w:rPr>
          <w:spacing w:val="-2"/>
        </w:rPr>
        <w:t xml:space="preserve"> </w:t>
      </w:r>
      <w:r>
        <w:t>that</w:t>
      </w:r>
      <w:r>
        <w:rPr>
          <w:spacing w:val="-1"/>
        </w:rPr>
        <w:t xml:space="preserve"> </w:t>
      </w:r>
      <w:r>
        <w:t>has</w:t>
      </w:r>
      <w:r>
        <w:rPr>
          <w:spacing w:val="-2"/>
        </w:rPr>
        <w:t xml:space="preserve"> </w:t>
      </w:r>
      <w:r>
        <w:t>been</w:t>
      </w:r>
      <w:r>
        <w:rPr>
          <w:spacing w:val="-2"/>
        </w:rPr>
        <w:t xml:space="preserve"> </w:t>
      </w:r>
      <w:r>
        <w:t>granted</w:t>
      </w:r>
      <w:r>
        <w:rPr>
          <w:spacing w:val="-2"/>
        </w:rPr>
        <w:t xml:space="preserve"> </w:t>
      </w:r>
      <w:r>
        <w:t>access</w:t>
      </w:r>
      <w:r>
        <w:rPr>
          <w:spacing w:val="-2"/>
        </w:rPr>
        <w:t xml:space="preserve"> </w:t>
      </w:r>
      <w:r>
        <w:t>to</w:t>
      </w:r>
      <w:r>
        <w:rPr>
          <w:spacing w:val="-1"/>
        </w:rPr>
        <w:t xml:space="preserve"> </w:t>
      </w:r>
      <w:r>
        <w:rPr>
          <w:spacing w:val="-2"/>
        </w:rPr>
        <w:t>InsuranceLink;</w:t>
      </w:r>
    </w:p>
    <w:p w14:paraId="4BA521DD" w14:textId="77777777" w:rsidR="00194D91" w:rsidRDefault="00F02D46">
      <w:pPr>
        <w:spacing w:before="207"/>
        <w:ind w:left="100"/>
      </w:pPr>
      <w:r>
        <w:rPr>
          <w:b/>
        </w:rPr>
        <w:t>Insurer</w:t>
      </w:r>
      <w:r>
        <w:rPr>
          <w:b/>
          <w:spacing w:val="-5"/>
        </w:rPr>
        <w:t xml:space="preserve"> </w:t>
      </w:r>
      <w:r>
        <w:rPr>
          <w:spacing w:val="-2"/>
        </w:rPr>
        <w:t>means:</w:t>
      </w:r>
    </w:p>
    <w:p w14:paraId="1910E76A" w14:textId="77777777" w:rsidR="00194D91" w:rsidRDefault="00F02D46">
      <w:pPr>
        <w:pStyle w:val="ListParagraph"/>
        <w:numPr>
          <w:ilvl w:val="0"/>
          <w:numId w:val="2"/>
        </w:numPr>
        <w:tabs>
          <w:tab w:val="left" w:pos="1538"/>
          <w:tab w:val="left" w:pos="1540"/>
        </w:tabs>
        <w:spacing w:before="218" w:line="228" w:lineRule="auto"/>
        <w:jc w:val="both"/>
      </w:pPr>
      <w:r>
        <w:t xml:space="preserve">An entity that holds a current </w:t>
      </w:r>
      <w:proofErr w:type="spellStart"/>
      <w:r>
        <w:t>authorisation</w:t>
      </w:r>
      <w:proofErr w:type="spellEnd"/>
      <w:r>
        <w:t xml:space="preserve"> as an insurance undertaking from a competent authority within the EEA; or</w:t>
      </w:r>
    </w:p>
    <w:p w14:paraId="388A95F7" w14:textId="77777777" w:rsidR="00194D91" w:rsidRDefault="00F02D46">
      <w:pPr>
        <w:pStyle w:val="ListParagraph"/>
        <w:numPr>
          <w:ilvl w:val="0"/>
          <w:numId w:val="2"/>
        </w:numPr>
        <w:tabs>
          <w:tab w:val="left" w:pos="1540"/>
        </w:tabs>
        <w:spacing w:line="228" w:lineRule="auto"/>
        <w:jc w:val="both"/>
      </w:pPr>
      <w:r>
        <w:t xml:space="preserve">An insurance undertaking </w:t>
      </w:r>
      <w:proofErr w:type="spellStart"/>
      <w:r>
        <w:t>authorised</w:t>
      </w:r>
      <w:proofErr w:type="spellEnd"/>
      <w:r>
        <w:t xml:space="preserve"> in the United Kingdom or Gibraltar that is also </w:t>
      </w:r>
      <w:proofErr w:type="spellStart"/>
      <w:r>
        <w:t>authorised</w:t>
      </w:r>
      <w:proofErr w:type="spellEnd"/>
      <w:r>
        <w:t xml:space="preserve"> pursuant to Regulation 13A of the European Union (Insurance and Reinsurance) Regulations 2015;</w:t>
      </w:r>
    </w:p>
    <w:p w14:paraId="37A7F102" w14:textId="77777777" w:rsidR="00194D91" w:rsidRDefault="00F02D46">
      <w:pPr>
        <w:spacing w:before="209"/>
        <w:ind w:left="100"/>
      </w:pPr>
      <w:r>
        <w:rPr>
          <w:b/>
        </w:rPr>
        <w:t>Legitimate</w:t>
      </w:r>
      <w:r>
        <w:rPr>
          <w:b/>
          <w:spacing w:val="-3"/>
        </w:rPr>
        <w:t xml:space="preserve"> </w:t>
      </w:r>
      <w:r>
        <w:rPr>
          <w:b/>
        </w:rPr>
        <w:t>Purpose</w:t>
      </w:r>
      <w:r>
        <w:rPr>
          <w:b/>
          <w:spacing w:val="-3"/>
        </w:rPr>
        <w:t xml:space="preserve"> </w:t>
      </w:r>
      <w:r>
        <w:t>means</w:t>
      </w:r>
      <w:r>
        <w:rPr>
          <w:spacing w:val="-2"/>
        </w:rPr>
        <w:t xml:space="preserve"> </w:t>
      </w:r>
      <w:r>
        <w:t>with</w:t>
      </w:r>
      <w:r>
        <w:rPr>
          <w:spacing w:val="-2"/>
        </w:rPr>
        <w:t xml:space="preserve"> </w:t>
      </w:r>
      <w:r>
        <w:t>respect</w:t>
      </w:r>
      <w:r>
        <w:rPr>
          <w:spacing w:val="-1"/>
        </w:rPr>
        <w:t xml:space="preserve"> </w:t>
      </w:r>
      <w:r>
        <w:rPr>
          <w:spacing w:val="-5"/>
        </w:rPr>
        <w:t>to:</w:t>
      </w:r>
    </w:p>
    <w:p w14:paraId="40D5B01F" w14:textId="77777777" w:rsidR="00194D91" w:rsidRDefault="00F02D46">
      <w:pPr>
        <w:pStyle w:val="ListParagraph"/>
        <w:numPr>
          <w:ilvl w:val="0"/>
          <w:numId w:val="2"/>
        </w:numPr>
        <w:tabs>
          <w:tab w:val="left" w:pos="1538"/>
          <w:tab w:val="left" w:pos="1540"/>
        </w:tabs>
        <w:spacing w:before="217" w:line="228" w:lineRule="auto"/>
        <w:jc w:val="both"/>
      </w:pPr>
      <w:r>
        <w:t>Insurer Users, the processing of InsuranceLink data in connection with fraud</w:t>
      </w:r>
      <w:r>
        <w:rPr>
          <w:spacing w:val="40"/>
        </w:rPr>
        <w:t xml:space="preserve"> </w:t>
      </w:r>
      <w:r>
        <w:t>detection and prevention and/or to verify the accuracy of information provided by customers or potential customers of the Insurer at the risk underwriting stage;</w:t>
      </w:r>
    </w:p>
    <w:p w14:paraId="60D2594C" w14:textId="77777777" w:rsidR="00194D91" w:rsidRDefault="00F02D46">
      <w:pPr>
        <w:pStyle w:val="ListParagraph"/>
        <w:numPr>
          <w:ilvl w:val="0"/>
          <w:numId w:val="2"/>
        </w:numPr>
        <w:tabs>
          <w:tab w:val="left" w:pos="1540"/>
        </w:tabs>
        <w:spacing w:line="228" w:lineRule="auto"/>
        <w:jc w:val="both"/>
      </w:pPr>
      <w:r>
        <w:t>Self-Insured Users, the processing of the InsuranceLink data in connection with fraud detection and prevention in connection with the categories and types of risks which a Self-Insured certifies or intends to certify that it self-insures against as set out in the InsuranceLink Application Form; and</w:t>
      </w:r>
    </w:p>
    <w:p w14:paraId="00B88FC1" w14:textId="77777777" w:rsidR="00194D91" w:rsidRDefault="00194D91">
      <w:pPr>
        <w:spacing w:line="228" w:lineRule="auto"/>
        <w:jc w:val="both"/>
        <w:sectPr w:rsidR="00194D91">
          <w:footerReference w:type="default" r:id="rId14"/>
          <w:type w:val="continuous"/>
          <w:pgSz w:w="11900" w:h="16840"/>
          <w:pgMar w:top="1340" w:right="1320" w:bottom="1140" w:left="1340" w:header="0" w:footer="946" w:gutter="0"/>
          <w:pgNumType w:start="1"/>
          <w:cols w:space="720"/>
        </w:sectPr>
      </w:pPr>
    </w:p>
    <w:p w14:paraId="436F9C1B" w14:textId="77777777" w:rsidR="00194D91" w:rsidRDefault="00F02D46">
      <w:pPr>
        <w:pStyle w:val="BodyText"/>
        <w:spacing w:before="88" w:line="228" w:lineRule="auto"/>
      </w:pPr>
      <w:r>
        <w:rPr>
          <w:b/>
        </w:rPr>
        <w:lastRenderedPageBreak/>
        <w:t xml:space="preserve">Self-Insured </w:t>
      </w:r>
      <w:r>
        <w:t>means an entity which certifies in the InsuranceLink Application Form that it self- insures, maintains reserves so to do and actively manages defined categories of risk above a defined monetary threshold.</w:t>
      </w:r>
    </w:p>
    <w:p w14:paraId="2BC48C1B" w14:textId="77777777" w:rsidR="00194D91" w:rsidRDefault="00194D91">
      <w:pPr>
        <w:pStyle w:val="BodyText"/>
        <w:spacing w:before="0"/>
        <w:ind w:left="0" w:right="0"/>
        <w:jc w:val="left"/>
      </w:pPr>
    </w:p>
    <w:p w14:paraId="2E3FB403" w14:textId="77777777" w:rsidR="00194D91" w:rsidRDefault="00194D91">
      <w:pPr>
        <w:pStyle w:val="BodyText"/>
        <w:spacing w:before="162"/>
        <w:ind w:left="0" w:right="0"/>
        <w:jc w:val="left"/>
      </w:pPr>
    </w:p>
    <w:p w14:paraId="5CE9A683" w14:textId="77777777" w:rsidR="00194D91" w:rsidRDefault="00F02D46">
      <w:pPr>
        <w:pStyle w:val="Heading1"/>
        <w:spacing w:before="0"/>
        <w:jc w:val="both"/>
      </w:pPr>
      <w:r>
        <w:rPr>
          <w:spacing w:val="-2"/>
        </w:rPr>
        <w:t>CRITERIA</w:t>
      </w:r>
      <w:r>
        <w:rPr>
          <w:spacing w:val="-3"/>
        </w:rPr>
        <w:t xml:space="preserve"> </w:t>
      </w:r>
      <w:r>
        <w:rPr>
          <w:spacing w:val="-2"/>
        </w:rPr>
        <w:t>FOR</w:t>
      </w:r>
      <w:r>
        <w:rPr>
          <w:spacing w:val="-3"/>
        </w:rPr>
        <w:t xml:space="preserve"> </w:t>
      </w:r>
      <w:r>
        <w:rPr>
          <w:spacing w:val="-2"/>
        </w:rPr>
        <w:t>ACCESS</w:t>
      </w:r>
    </w:p>
    <w:p w14:paraId="0AA5DE1D" w14:textId="77777777" w:rsidR="00194D91" w:rsidRDefault="00F02D46">
      <w:pPr>
        <w:pStyle w:val="BodyText"/>
        <w:spacing w:before="207"/>
        <w:ind w:right="0"/>
      </w:pPr>
      <w:r>
        <w:t>Access</w:t>
      </w:r>
      <w:r>
        <w:rPr>
          <w:spacing w:val="-4"/>
        </w:rPr>
        <w:t xml:space="preserve"> </w:t>
      </w:r>
      <w:r>
        <w:t>to</w:t>
      </w:r>
      <w:r>
        <w:rPr>
          <w:spacing w:val="-1"/>
        </w:rPr>
        <w:t xml:space="preserve"> </w:t>
      </w:r>
      <w:r>
        <w:t>InsuranceLink</w:t>
      </w:r>
      <w:r>
        <w:rPr>
          <w:spacing w:val="-1"/>
        </w:rPr>
        <w:t xml:space="preserve"> </w:t>
      </w:r>
      <w:r>
        <w:t>will</w:t>
      </w:r>
      <w:r>
        <w:rPr>
          <w:spacing w:val="-1"/>
        </w:rPr>
        <w:t xml:space="preserve"> </w:t>
      </w:r>
      <w:r>
        <w:t>be</w:t>
      </w:r>
      <w:r>
        <w:rPr>
          <w:spacing w:val="-3"/>
        </w:rPr>
        <w:t xml:space="preserve"> </w:t>
      </w:r>
      <w:r>
        <w:t>made</w:t>
      </w:r>
      <w:r>
        <w:rPr>
          <w:spacing w:val="-2"/>
        </w:rPr>
        <w:t xml:space="preserve"> </w:t>
      </w:r>
      <w:r>
        <w:t>available</w:t>
      </w:r>
      <w:r>
        <w:rPr>
          <w:spacing w:val="-2"/>
        </w:rPr>
        <w:t xml:space="preserve"> </w:t>
      </w:r>
      <w:r>
        <w:t>to</w:t>
      </w:r>
      <w:r>
        <w:rPr>
          <w:spacing w:val="-1"/>
        </w:rPr>
        <w:t xml:space="preserve"> </w:t>
      </w:r>
      <w:r>
        <w:t>Eligible</w:t>
      </w:r>
      <w:r>
        <w:rPr>
          <w:spacing w:val="-2"/>
        </w:rPr>
        <w:t xml:space="preserve"> </w:t>
      </w:r>
      <w:r>
        <w:t>Entities</w:t>
      </w:r>
      <w:r>
        <w:rPr>
          <w:spacing w:val="-2"/>
        </w:rPr>
        <w:t xml:space="preserve"> </w:t>
      </w:r>
      <w:r>
        <w:t>that</w:t>
      </w:r>
      <w:r>
        <w:rPr>
          <w:spacing w:val="-1"/>
        </w:rPr>
        <w:t xml:space="preserve"> </w:t>
      </w:r>
      <w:r>
        <w:t>meet</w:t>
      </w:r>
      <w:r>
        <w:rPr>
          <w:spacing w:val="-1"/>
        </w:rPr>
        <w:t xml:space="preserve"> </w:t>
      </w:r>
      <w:r>
        <w:t>the</w:t>
      </w:r>
      <w:r>
        <w:rPr>
          <w:spacing w:val="-2"/>
        </w:rPr>
        <w:t xml:space="preserve"> </w:t>
      </w:r>
      <w:r>
        <w:t>following</w:t>
      </w:r>
      <w:r>
        <w:rPr>
          <w:spacing w:val="-1"/>
        </w:rPr>
        <w:t xml:space="preserve"> </w:t>
      </w:r>
      <w:r>
        <w:rPr>
          <w:spacing w:val="-2"/>
        </w:rPr>
        <w:t>criteria:</w:t>
      </w:r>
    </w:p>
    <w:p w14:paraId="1846AEF1" w14:textId="77777777" w:rsidR="00194D91" w:rsidRDefault="00F02D46">
      <w:pPr>
        <w:pStyle w:val="ListParagraph"/>
        <w:numPr>
          <w:ilvl w:val="0"/>
          <w:numId w:val="1"/>
        </w:numPr>
        <w:tabs>
          <w:tab w:val="left" w:pos="819"/>
        </w:tabs>
        <w:spacing w:before="207"/>
        <w:ind w:left="819" w:right="0" w:hanging="719"/>
      </w:pPr>
      <w:r>
        <w:t>The</w:t>
      </w:r>
      <w:r>
        <w:rPr>
          <w:spacing w:val="-7"/>
        </w:rPr>
        <w:t xml:space="preserve"> </w:t>
      </w:r>
      <w:r>
        <w:t>InsuranceLink</w:t>
      </w:r>
      <w:r>
        <w:rPr>
          <w:spacing w:val="-14"/>
        </w:rPr>
        <w:t xml:space="preserve"> </w:t>
      </w:r>
      <w:r>
        <w:t>Applicant</w:t>
      </w:r>
      <w:r>
        <w:rPr>
          <w:spacing w:val="-2"/>
        </w:rPr>
        <w:t xml:space="preserve"> </w:t>
      </w:r>
      <w:r>
        <w:rPr>
          <w:spacing w:val="-5"/>
        </w:rPr>
        <w:t>is:</w:t>
      </w:r>
    </w:p>
    <w:p w14:paraId="6AB21410" w14:textId="77777777" w:rsidR="00194D91" w:rsidRDefault="00F02D46">
      <w:pPr>
        <w:pStyle w:val="ListParagraph"/>
        <w:numPr>
          <w:ilvl w:val="1"/>
          <w:numId w:val="1"/>
        </w:numPr>
        <w:tabs>
          <w:tab w:val="left" w:pos="1540"/>
        </w:tabs>
        <w:spacing w:before="218" w:line="228" w:lineRule="auto"/>
      </w:pPr>
      <w:r>
        <w:t>An</w:t>
      </w:r>
      <w:r>
        <w:rPr>
          <w:spacing w:val="80"/>
        </w:rPr>
        <w:t xml:space="preserve"> </w:t>
      </w:r>
      <w:r>
        <w:t>Insurer</w:t>
      </w:r>
      <w:r>
        <w:rPr>
          <w:spacing w:val="80"/>
        </w:rPr>
        <w:t xml:space="preserve"> </w:t>
      </w:r>
      <w:r>
        <w:t>that</w:t>
      </w:r>
      <w:r>
        <w:rPr>
          <w:spacing w:val="80"/>
        </w:rPr>
        <w:t xml:space="preserve"> </w:t>
      </w:r>
      <w:r>
        <w:t>carries</w:t>
      </w:r>
      <w:r>
        <w:rPr>
          <w:spacing w:val="80"/>
        </w:rPr>
        <w:t xml:space="preserve"> </w:t>
      </w:r>
      <w:r>
        <w:t>on</w:t>
      </w:r>
      <w:r>
        <w:rPr>
          <w:spacing w:val="80"/>
        </w:rPr>
        <w:t xml:space="preserve"> </w:t>
      </w:r>
      <w:r>
        <w:t>insurance</w:t>
      </w:r>
      <w:r>
        <w:rPr>
          <w:spacing w:val="80"/>
        </w:rPr>
        <w:t xml:space="preserve"> </w:t>
      </w:r>
      <w:r>
        <w:t>business</w:t>
      </w:r>
      <w:r>
        <w:rPr>
          <w:spacing w:val="80"/>
        </w:rPr>
        <w:t xml:space="preserve"> </w:t>
      </w:r>
      <w:r>
        <w:t>in</w:t>
      </w:r>
      <w:r>
        <w:rPr>
          <w:spacing w:val="80"/>
        </w:rPr>
        <w:t xml:space="preserve"> </w:t>
      </w:r>
      <w:r>
        <w:t>Ireland,</w:t>
      </w:r>
      <w:r>
        <w:rPr>
          <w:spacing w:val="80"/>
        </w:rPr>
        <w:t xml:space="preserve"> </w:t>
      </w:r>
      <w:r>
        <w:t>or</w:t>
      </w:r>
      <w:r>
        <w:rPr>
          <w:spacing w:val="80"/>
        </w:rPr>
        <w:t xml:space="preserve"> </w:t>
      </w:r>
      <w:r>
        <w:t>an</w:t>
      </w:r>
      <w:r>
        <w:rPr>
          <w:spacing w:val="80"/>
        </w:rPr>
        <w:t xml:space="preserve"> </w:t>
      </w:r>
      <w:r>
        <w:t>Insurer</w:t>
      </w:r>
      <w:r>
        <w:rPr>
          <w:spacing w:val="80"/>
        </w:rPr>
        <w:t xml:space="preserve"> </w:t>
      </w:r>
      <w:r>
        <w:t>that demonstrates an intention to carry on insurance business in Ireland on a:</w:t>
      </w:r>
    </w:p>
    <w:p w14:paraId="4CB892B6" w14:textId="77777777" w:rsidR="00194D91" w:rsidRDefault="00F02D46">
      <w:pPr>
        <w:pStyle w:val="ListParagraph"/>
        <w:numPr>
          <w:ilvl w:val="2"/>
          <w:numId w:val="1"/>
        </w:numPr>
        <w:tabs>
          <w:tab w:val="left" w:pos="2258"/>
          <w:tab w:val="left" w:pos="2260"/>
        </w:tabs>
        <w:spacing w:line="228" w:lineRule="auto"/>
        <w:jc w:val="both"/>
      </w:pPr>
      <w:r>
        <w:t>freedom</w:t>
      </w:r>
      <w:r>
        <w:rPr>
          <w:spacing w:val="-1"/>
        </w:rPr>
        <w:t xml:space="preserve"> </w:t>
      </w:r>
      <w:r>
        <w:t>of</w:t>
      </w:r>
      <w:r>
        <w:rPr>
          <w:spacing w:val="-1"/>
        </w:rPr>
        <w:t xml:space="preserve"> </w:t>
      </w:r>
      <w:r>
        <w:t>services</w:t>
      </w:r>
      <w:r>
        <w:rPr>
          <w:spacing w:val="-1"/>
        </w:rPr>
        <w:t xml:space="preserve"> </w:t>
      </w:r>
      <w:r>
        <w:t>basis,</w:t>
      </w:r>
      <w:r>
        <w:rPr>
          <w:spacing w:val="-1"/>
        </w:rPr>
        <w:t xml:space="preserve"> </w:t>
      </w:r>
      <w:r>
        <w:t>by</w:t>
      </w:r>
      <w:r>
        <w:rPr>
          <w:spacing w:val="-1"/>
        </w:rPr>
        <w:t xml:space="preserve"> </w:t>
      </w:r>
      <w:r>
        <w:t>providing</w:t>
      </w:r>
      <w:r>
        <w:rPr>
          <w:spacing w:val="-1"/>
        </w:rPr>
        <w:t xml:space="preserve"> </w:t>
      </w:r>
      <w:r>
        <w:t>a</w:t>
      </w:r>
      <w:r>
        <w:rPr>
          <w:spacing w:val="-1"/>
        </w:rPr>
        <w:t xml:space="preserve"> </w:t>
      </w:r>
      <w:r>
        <w:t>copy</w:t>
      </w:r>
      <w:r>
        <w:rPr>
          <w:spacing w:val="-1"/>
        </w:rPr>
        <w:t xml:space="preserve"> </w:t>
      </w:r>
      <w:r>
        <w:t>of</w:t>
      </w:r>
      <w:r>
        <w:rPr>
          <w:spacing w:val="-1"/>
        </w:rPr>
        <w:t xml:space="preserve"> </w:t>
      </w:r>
      <w:r>
        <w:t>the</w:t>
      </w:r>
      <w:r>
        <w:rPr>
          <w:spacing w:val="-1"/>
        </w:rPr>
        <w:t xml:space="preserve"> </w:t>
      </w:r>
      <w:r>
        <w:t>communication</w:t>
      </w:r>
      <w:r>
        <w:rPr>
          <w:spacing w:val="-1"/>
        </w:rPr>
        <w:t xml:space="preserve"> </w:t>
      </w:r>
      <w:r>
        <w:t>from</w:t>
      </w:r>
      <w:r>
        <w:rPr>
          <w:spacing w:val="-1"/>
        </w:rPr>
        <w:t xml:space="preserve"> </w:t>
      </w:r>
      <w:r>
        <w:t>its home state supervisory authority referred to in Article 148(1) of Directive 2009/138/EC; or</w:t>
      </w:r>
    </w:p>
    <w:p w14:paraId="5FE13558" w14:textId="77777777" w:rsidR="00194D91" w:rsidRDefault="00F02D46">
      <w:pPr>
        <w:pStyle w:val="ListParagraph"/>
        <w:numPr>
          <w:ilvl w:val="2"/>
          <w:numId w:val="1"/>
        </w:numPr>
        <w:tabs>
          <w:tab w:val="left" w:pos="2260"/>
        </w:tabs>
        <w:spacing w:line="228" w:lineRule="auto"/>
        <w:jc w:val="both"/>
      </w:pPr>
      <w:r>
        <w:t>freedom of establishment basis, by providing a copy of the communication referred to in</w:t>
      </w:r>
      <w:r>
        <w:rPr>
          <w:spacing w:val="-10"/>
        </w:rPr>
        <w:t xml:space="preserve"> </w:t>
      </w:r>
      <w:r>
        <w:t>Article 146(3) of Directive 2009/138/EC demonstrating that the Central Bank of Ireland has, pursuant to that Article, notified the InsuranceLink Applicant’s home state regulator of the Irish general good requirements applicable to the applicant (or that the relevant period for doing so has elapsed);</w:t>
      </w:r>
    </w:p>
    <w:p w14:paraId="5DC85A04" w14:textId="77777777" w:rsidR="00194D91" w:rsidRDefault="00F02D46">
      <w:pPr>
        <w:spacing w:before="208"/>
        <w:ind w:left="820"/>
        <w:rPr>
          <w:b/>
        </w:rPr>
      </w:pPr>
      <w:r>
        <w:rPr>
          <w:b/>
          <w:spacing w:val="-5"/>
          <w:u w:val="single"/>
        </w:rPr>
        <w:t>or</w:t>
      </w:r>
    </w:p>
    <w:p w14:paraId="6A323E9E" w14:textId="77777777" w:rsidR="00194D91" w:rsidRDefault="00F02D46">
      <w:pPr>
        <w:pStyle w:val="ListParagraph"/>
        <w:numPr>
          <w:ilvl w:val="1"/>
          <w:numId w:val="1"/>
        </w:numPr>
        <w:tabs>
          <w:tab w:val="left" w:pos="1540"/>
        </w:tabs>
        <w:spacing w:before="217" w:line="228" w:lineRule="auto"/>
        <w:jc w:val="both"/>
      </w:pPr>
      <w:r>
        <w:t>Any entity that is appointed by an entity under paragraph 1(a) to perform, under delegated authority, underwriting functions and/or claims management functions in Ireland on the Insurer’s behalf. Such entities may include, but are not limited to, loss adjusters; intermediaries who act as underwriting agents, enter into insurance contracts and/or appoint retail agents on behalf of insurance undertakings under a delegated authority; and entities which have an insurance undertaking as a carrier;</w:t>
      </w:r>
    </w:p>
    <w:p w14:paraId="24991435" w14:textId="77777777" w:rsidR="00194D91" w:rsidRDefault="00F02D46">
      <w:pPr>
        <w:spacing w:before="208"/>
        <w:ind w:left="820"/>
        <w:rPr>
          <w:b/>
        </w:rPr>
      </w:pPr>
      <w:r>
        <w:rPr>
          <w:b/>
          <w:spacing w:val="-5"/>
          <w:u w:val="single"/>
        </w:rPr>
        <w:t>or</w:t>
      </w:r>
    </w:p>
    <w:p w14:paraId="1FA902CF" w14:textId="77777777" w:rsidR="00194D91" w:rsidRDefault="00F02D46">
      <w:pPr>
        <w:pStyle w:val="ListParagraph"/>
        <w:numPr>
          <w:ilvl w:val="1"/>
          <w:numId w:val="1"/>
        </w:numPr>
        <w:tabs>
          <w:tab w:val="left" w:pos="1539"/>
        </w:tabs>
        <w:spacing w:before="207"/>
        <w:ind w:left="1539" w:right="0" w:hanging="719"/>
      </w:pPr>
      <w:r>
        <w:t>A</w:t>
      </w:r>
      <w:r>
        <w:rPr>
          <w:spacing w:val="-14"/>
        </w:rPr>
        <w:t xml:space="preserve"> </w:t>
      </w:r>
      <w:r>
        <w:t>Self-Insured</w:t>
      </w:r>
      <w:r>
        <w:rPr>
          <w:spacing w:val="-3"/>
        </w:rPr>
        <w:t xml:space="preserve"> </w:t>
      </w:r>
      <w:r>
        <w:t>that</w:t>
      </w:r>
      <w:r>
        <w:rPr>
          <w:spacing w:val="-2"/>
        </w:rPr>
        <w:t xml:space="preserve"> </w:t>
      </w:r>
      <w:r>
        <w:t>carries</w:t>
      </w:r>
      <w:r>
        <w:rPr>
          <w:spacing w:val="-2"/>
        </w:rPr>
        <w:t xml:space="preserve"> </w:t>
      </w:r>
      <w:r>
        <w:t>on</w:t>
      </w:r>
      <w:r>
        <w:rPr>
          <w:spacing w:val="-2"/>
        </w:rPr>
        <w:t xml:space="preserve"> </w:t>
      </w:r>
      <w:r>
        <w:t>business</w:t>
      </w:r>
      <w:r>
        <w:rPr>
          <w:spacing w:val="-2"/>
        </w:rPr>
        <w:t xml:space="preserve"> </w:t>
      </w:r>
      <w:r>
        <w:t>in</w:t>
      </w:r>
      <w:r>
        <w:rPr>
          <w:spacing w:val="-1"/>
        </w:rPr>
        <w:t xml:space="preserve"> </w:t>
      </w:r>
      <w:r>
        <w:rPr>
          <w:spacing w:val="-2"/>
        </w:rPr>
        <w:t>Ireland.</w:t>
      </w:r>
    </w:p>
    <w:p w14:paraId="31DD729A" w14:textId="77777777" w:rsidR="00194D91" w:rsidRDefault="00F02D46">
      <w:pPr>
        <w:pStyle w:val="ListParagraph"/>
        <w:numPr>
          <w:ilvl w:val="0"/>
          <w:numId w:val="1"/>
        </w:numPr>
        <w:tabs>
          <w:tab w:val="left" w:pos="820"/>
        </w:tabs>
        <w:spacing w:before="217" w:line="228" w:lineRule="auto"/>
        <w:jc w:val="both"/>
      </w:pPr>
      <w:r>
        <w:t>The InsuranceLink Applicant submits a completed InsuranceLink Application Form to the InsuranceLink Application Officer;</w:t>
      </w:r>
    </w:p>
    <w:p w14:paraId="178248A7" w14:textId="77777777" w:rsidR="00194D91" w:rsidRDefault="00F02D46">
      <w:pPr>
        <w:pStyle w:val="ListParagraph"/>
        <w:numPr>
          <w:ilvl w:val="0"/>
          <w:numId w:val="1"/>
        </w:numPr>
        <w:tabs>
          <w:tab w:val="left" w:pos="820"/>
        </w:tabs>
        <w:spacing w:before="220" w:line="228" w:lineRule="auto"/>
        <w:jc w:val="both"/>
      </w:pPr>
      <w:r>
        <w:t>The InsuranceLink Applicant confirms by providing a completed and signed InsuranceLink Application Form that it is seeking access to InsuranceLink for the Legitimate Purpose;</w:t>
      </w:r>
    </w:p>
    <w:p w14:paraId="7C29E5D0" w14:textId="77777777" w:rsidR="00194D91" w:rsidRDefault="00F02D46">
      <w:pPr>
        <w:pStyle w:val="ListParagraph"/>
        <w:numPr>
          <w:ilvl w:val="0"/>
          <w:numId w:val="1"/>
        </w:numPr>
        <w:tabs>
          <w:tab w:val="left" w:pos="820"/>
        </w:tabs>
        <w:spacing w:line="228" w:lineRule="auto"/>
        <w:jc w:val="both"/>
      </w:pPr>
      <w:r>
        <w:t>It is a condition of accessing InsuranceLink that all relevant claims data will be inputted into InsuranceLink (either by the Eligible Entity or, where the Eligible Entity is an Insurer, by an entity with delegated authority as outlined below) consistent with the principle of reciprocity on which InsuranceLink is based;</w:t>
      </w:r>
    </w:p>
    <w:p w14:paraId="6E6250C6" w14:textId="77777777" w:rsidR="00194D91" w:rsidRDefault="00F02D46">
      <w:pPr>
        <w:pStyle w:val="ListParagraph"/>
        <w:numPr>
          <w:ilvl w:val="0"/>
          <w:numId w:val="1"/>
        </w:numPr>
        <w:tabs>
          <w:tab w:val="left" w:pos="820"/>
        </w:tabs>
        <w:spacing w:line="228" w:lineRule="auto"/>
        <w:jc w:val="both"/>
      </w:pPr>
      <w:r>
        <w:t>Where the InsuranceLink</w:t>
      </w:r>
      <w:r>
        <w:rPr>
          <w:spacing w:val="-8"/>
        </w:rPr>
        <w:t xml:space="preserve"> </w:t>
      </w:r>
      <w:r>
        <w:t>Applicant is an entity with a delegated authority, the InsuranceLink Applicant confirms, by providing a completed and signed InsuranceLink Confirmation Letter from an Insurer together with the InsuranceLink Application Form, that it has a delegated authority (i) to underwrite policies and accept risks on behalf of an Insurer and/or (ii) to manage and settle claims on behalf of an Insurer;</w:t>
      </w:r>
    </w:p>
    <w:p w14:paraId="4CC1B1A4" w14:textId="77777777" w:rsidR="00194D91" w:rsidRDefault="00F02D46">
      <w:pPr>
        <w:pStyle w:val="ListParagraph"/>
        <w:numPr>
          <w:ilvl w:val="0"/>
          <w:numId w:val="1"/>
        </w:numPr>
        <w:tabs>
          <w:tab w:val="left" w:pos="820"/>
        </w:tabs>
        <w:spacing w:before="218" w:line="228" w:lineRule="auto"/>
        <w:jc w:val="both"/>
      </w:pPr>
      <w:r>
        <w:t>Where the InsuranceLink Applicant is an entity with a delegated authority limited to underwriting services, the InsuranceLink Applicant agrees to provide confirmation, by providing</w:t>
      </w:r>
      <w:r>
        <w:rPr>
          <w:spacing w:val="71"/>
        </w:rPr>
        <w:t xml:space="preserve"> </w:t>
      </w:r>
      <w:r>
        <w:t>a</w:t>
      </w:r>
      <w:r>
        <w:rPr>
          <w:spacing w:val="71"/>
        </w:rPr>
        <w:t xml:space="preserve"> </w:t>
      </w:r>
      <w:r>
        <w:t>completed</w:t>
      </w:r>
      <w:r>
        <w:rPr>
          <w:spacing w:val="71"/>
        </w:rPr>
        <w:t xml:space="preserve"> </w:t>
      </w:r>
      <w:r>
        <w:t>and</w:t>
      </w:r>
      <w:r>
        <w:rPr>
          <w:spacing w:val="71"/>
        </w:rPr>
        <w:t xml:space="preserve"> </w:t>
      </w:r>
      <w:r>
        <w:t>signed</w:t>
      </w:r>
      <w:r>
        <w:rPr>
          <w:spacing w:val="71"/>
        </w:rPr>
        <w:t xml:space="preserve"> </w:t>
      </w:r>
      <w:r>
        <w:t>InsuranceLink</w:t>
      </w:r>
      <w:r>
        <w:rPr>
          <w:spacing w:val="71"/>
        </w:rPr>
        <w:t xml:space="preserve"> </w:t>
      </w:r>
      <w:r>
        <w:t>Confirmation</w:t>
      </w:r>
      <w:r>
        <w:rPr>
          <w:spacing w:val="71"/>
        </w:rPr>
        <w:t xml:space="preserve"> </w:t>
      </w:r>
      <w:r>
        <w:t>Letter</w:t>
      </w:r>
      <w:r>
        <w:rPr>
          <w:spacing w:val="71"/>
        </w:rPr>
        <w:t xml:space="preserve"> </w:t>
      </w:r>
      <w:r>
        <w:t>from</w:t>
      </w:r>
      <w:r>
        <w:rPr>
          <w:spacing w:val="71"/>
        </w:rPr>
        <w:t xml:space="preserve"> </w:t>
      </w:r>
      <w:r>
        <w:t>an</w:t>
      </w:r>
      <w:r>
        <w:rPr>
          <w:spacing w:val="71"/>
        </w:rPr>
        <w:t xml:space="preserve"> </w:t>
      </w:r>
      <w:r>
        <w:t>Insurer</w:t>
      </w:r>
    </w:p>
    <w:p w14:paraId="3DC8C834" w14:textId="77777777" w:rsidR="00194D91" w:rsidRDefault="00194D91">
      <w:pPr>
        <w:spacing w:line="228" w:lineRule="auto"/>
        <w:jc w:val="both"/>
        <w:sectPr w:rsidR="00194D91">
          <w:pgSz w:w="11900" w:h="16840"/>
          <w:pgMar w:top="1340" w:right="1320" w:bottom="1140" w:left="1340" w:header="0" w:footer="946" w:gutter="0"/>
          <w:cols w:space="720"/>
        </w:sectPr>
      </w:pPr>
    </w:p>
    <w:p w14:paraId="5AB554BF" w14:textId="77777777" w:rsidR="00194D91" w:rsidRDefault="00F02D46">
      <w:pPr>
        <w:pStyle w:val="BodyText"/>
        <w:spacing w:before="88" w:line="228" w:lineRule="auto"/>
        <w:ind w:left="820"/>
      </w:pPr>
      <w:r>
        <w:lastRenderedPageBreak/>
        <w:t>together with the InsuranceLink Application Form, that the relevant Insurer(s) that has provided the delegated authority to the InsuranceLink Applicant will ensure that relevant claims information is inputted into InsuranceLink;</w:t>
      </w:r>
    </w:p>
    <w:p w14:paraId="798105C4" w14:textId="77777777" w:rsidR="00194D91" w:rsidRDefault="00F02D46">
      <w:pPr>
        <w:pStyle w:val="ListParagraph"/>
        <w:numPr>
          <w:ilvl w:val="0"/>
          <w:numId w:val="1"/>
        </w:numPr>
        <w:tabs>
          <w:tab w:val="left" w:pos="820"/>
        </w:tabs>
        <w:spacing w:line="228" w:lineRule="auto"/>
      </w:pPr>
      <w:r>
        <w:t>The</w:t>
      </w:r>
      <w:r>
        <w:rPr>
          <w:spacing w:val="40"/>
        </w:rPr>
        <w:t xml:space="preserve"> </w:t>
      </w:r>
      <w:r>
        <w:t>InsuranceLink</w:t>
      </w:r>
      <w:r>
        <w:rPr>
          <w:spacing w:val="37"/>
        </w:rPr>
        <w:t xml:space="preserve"> </w:t>
      </w:r>
      <w:r>
        <w:t>Applicant</w:t>
      </w:r>
      <w:r>
        <w:rPr>
          <w:spacing w:val="40"/>
        </w:rPr>
        <w:t xml:space="preserve"> </w:t>
      </w:r>
      <w:r>
        <w:t>enters</w:t>
      </w:r>
      <w:r>
        <w:rPr>
          <w:spacing w:val="40"/>
        </w:rPr>
        <w:t xml:space="preserve"> </w:t>
      </w:r>
      <w:r>
        <w:t>into</w:t>
      </w:r>
      <w:r>
        <w:rPr>
          <w:spacing w:val="40"/>
        </w:rPr>
        <w:t xml:space="preserve"> </w:t>
      </w:r>
      <w:r>
        <w:t>and</w:t>
      </w:r>
      <w:r>
        <w:rPr>
          <w:spacing w:val="40"/>
        </w:rPr>
        <w:t xml:space="preserve"> </w:t>
      </w:r>
      <w:r>
        <w:t>complies</w:t>
      </w:r>
      <w:r>
        <w:rPr>
          <w:spacing w:val="40"/>
        </w:rPr>
        <w:t xml:space="preserve"> </w:t>
      </w:r>
      <w:r>
        <w:t>with</w:t>
      </w:r>
      <w:r>
        <w:rPr>
          <w:spacing w:val="40"/>
        </w:rPr>
        <w:t xml:space="preserve"> </w:t>
      </w:r>
      <w:r>
        <w:t>the</w:t>
      </w:r>
      <w:r>
        <w:rPr>
          <w:spacing w:val="40"/>
        </w:rPr>
        <w:t xml:space="preserve"> </w:t>
      </w:r>
      <w:r>
        <w:t>InsuranceLink</w:t>
      </w:r>
      <w:r>
        <w:rPr>
          <w:spacing w:val="40"/>
        </w:rPr>
        <w:t xml:space="preserve"> </w:t>
      </w:r>
      <w:r>
        <w:t>Terms</w:t>
      </w:r>
      <w:r>
        <w:rPr>
          <w:spacing w:val="40"/>
        </w:rPr>
        <w:t xml:space="preserve"> </w:t>
      </w:r>
      <w:r>
        <w:t>of Access Agreement; and</w:t>
      </w:r>
    </w:p>
    <w:p w14:paraId="65C71CFF" w14:textId="77777777" w:rsidR="00194D91" w:rsidRDefault="00F02D46">
      <w:pPr>
        <w:pStyle w:val="ListParagraph"/>
        <w:numPr>
          <w:ilvl w:val="0"/>
          <w:numId w:val="1"/>
        </w:numPr>
        <w:tabs>
          <w:tab w:val="left" w:pos="819"/>
        </w:tabs>
        <w:spacing w:before="209"/>
        <w:ind w:left="819" w:right="0" w:hanging="719"/>
      </w:pPr>
      <w:r>
        <w:t>The</w:t>
      </w:r>
      <w:r>
        <w:rPr>
          <w:spacing w:val="-5"/>
        </w:rPr>
        <w:t xml:space="preserve"> </w:t>
      </w:r>
      <w:r>
        <w:t>InsuranceLink</w:t>
      </w:r>
      <w:r>
        <w:rPr>
          <w:spacing w:val="-14"/>
        </w:rPr>
        <w:t xml:space="preserve"> </w:t>
      </w:r>
      <w:r>
        <w:t>Applicant</w:t>
      </w:r>
      <w:r>
        <w:rPr>
          <w:spacing w:val="-2"/>
        </w:rPr>
        <w:t xml:space="preserve"> </w:t>
      </w:r>
      <w:r>
        <w:t>agrees</w:t>
      </w:r>
      <w:r>
        <w:rPr>
          <w:spacing w:val="-1"/>
        </w:rPr>
        <w:t xml:space="preserve"> </w:t>
      </w:r>
      <w:r>
        <w:t>to</w:t>
      </w:r>
      <w:r>
        <w:rPr>
          <w:spacing w:val="-2"/>
        </w:rPr>
        <w:t xml:space="preserve"> </w:t>
      </w:r>
      <w:r>
        <w:t>adhere</w:t>
      </w:r>
      <w:r>
        <w:rPr>
          <w:spacing w:val="-2"/>
        </w:rPr>
        <w:t xml:space="preserve"> </w:t>
      </w:r>
      <w:r>
        <w:t>to</w:t>
      </w:r>
      <w:r>
        <w:rPr>
          <w:spacing w:val="-2"/>
        </w:rPr>
        <w:t xml:space="preserve"> </w:t>
      </w:r>
      <w:r>
        <w:t>the</w:t>
      </w:r>
      <w:r>
        <w:rPr>
          <w:spacing w:val="-2"/>
        </w:rPr>
        <w:t xml:space="preserve"> Code.</w:t>
      </w:r>
    </w:p>
    <w:p w14:paraId="22B058F3" w14:textId="77777777" w:rsidR="00194D91" w:rsidRDefault="00F02D46">
      <w:pPr>
        <w:pStyle w:val="BodyText"/>
        <w:spacing w:line="228" w:lineRule="auto"/>
        <w:ind w:right="0"/>
        <w:jc w:val="left"/>
      </w:pPr>
      <w:r>
        <w:t>Where the criteria outlined above are met, the InsuranceLink</w:t>
      </w:r>
      <w:r>
        <w:rPr>
          <w:spacing w:val="-8"/>
        </w:rPr>
        <w:t xml:space="preserve"> </w:t>
      </w:r>
      <w:r>
        <w:t>Applicant shall be granted full access to InsuranceLink as provided in the timeframe set out in the InsuranceLink</w:t>
      </w:r>
      <w:r>
        <w:rPr>
          <w:spacing w:val="-4"/>
        </w:rPr>
        <w:t xml:space="preserve"> </w:t>
      </w:r>
      <w:r>
        <w:t>Application Procedure.</w:t>
      </w:r>
    </w:p>
    <w:p w14:paraId="236323A4" w14:textId="77777777" w:rsidR="00FE038B" w:rsidRDefault="00FE038B">
      <w:pPr>
        <w:pStyle w:val="BodyText"/>
        <w:spacing w:line="228" w:lineRule="auto"/>
        <w:ind w:right="0"/>
        <w:jc w:val="left"/>
      </w:pPr>
    </w:p>
    <w:p w14:paraId="7B0E5CFA" w14:textId="77777777" w:rsidR="00FE038B" w:rsidRDefault="00FE038B" w:rsidP="00FE038B">
      <w:pPr>
        <w:widowControl/>
        <w:autoSpaceDE/>
        <w:rPr>
          <w:b/>
          <w:bCs/>
          <w:lang w:val="en-IE" w:eastAsia="en-IE"/>
        </w:rPr>
      </w:pPr>
      <w:r>
        <w:rPr>
          <w:b/>
          <w:bCs/>
          <w:lang w:val="en-IE" w:eastAsia="en-IE"/>
        </w:rPr>
        <w:t>Note:</w:t>
      </w:r>
    </w:p>
    <w:p w14:paraId="7111CEDD" w14:textId="77777777" w:rsidR="00FE038B" w:rsidRDefault="00FE038B" w:rsidP="00FE038B">
      <w:pPr>
        <w:widowControl/>
        <w:autoSpaceDE/>
        <w:rPr>
          <w:b/>
          <w:bCs/>
          <w:sz w:val="24"/>
          <w:szCs w:val="24"/>
          <w:lang w:val="en-IE" w:eastAsia="en-IE"/>
        </w:rPr>
      </w:pPr>
      <w:r>
        <w:rPr>
          <w:b/>
          <w:bCs/>
          <w:lang w:val="en-IE" w:eastAsia="en-IE"/>
        </w:rPr>
        <w:t>The information on this site is for informational purposes only. Legal advice should be taken prior to entering into any legal agreements.</w:t>
      </w:r>
    </w:p>
    <w:p w14:paraId="16DF901D" w14:textId="77777777" w:rsidR="00FE038B" w:rsidRPr="00FE038B" w:rsidRDefault="00FE038B">
      <w:pPr>
        <w:pStyle w:val="BodyText"/>
        <w:spacing w:line="228" w:lineRule="auto"/>
        <w:ind w:right="0"/>
        <w:jc w:val="left"/>
        <w:rPr>
          <w:lang w:val="en-IE"/>
        </w:rPr>
      </w:pPr>
    </w:p>
    <w:sectPr w:rsidR="00FE038B" w:rsidRPr="00FE038B">
      <w:pgSz w:w="11900" w:h="16840"/>
      <w:pgMar w:top="1340" w:right="1320" w:bottom="1140" w:left="1340" w:header="0" w:footer="9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455B" w14:textId="77777777" w:rsidR="00EA2506" w:rsidRDefault="00EA2506">
      <w:r>
        <w:separator/>
      </w:r>
    </w:p>
  </w:endnote>
  <w:endnote w:type="continuationSeparator" w:id="0">
    <w:p w14:paraId="3DC52915" w14:textId="77777777" w:rsidR="00EA2506" w:rsidRDefault="00EA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0427" w14:textId="77777777" w:rsidR="00194D91" w:rsidRDefault="00F02D46">
    <w:pPr>
      <w:pStyle w:val="BodyText"/>
      <w:spacing w:before="0" w:line="14" w:lineRule="auto"/>
      <w:ind w:left="0" w:right="0"/>
      <w:jc w:val="left"/>
      <w:rPr>
        <w:sz w:val="20"/>
      </w:rPr>
    </w:pPr>
    <w:r>
      <w:rPr>
        <w:noProof/>
      </w:rPr>
      <mc:AlternateContent>
        <mc:Choice Requires="wps">
          <w:drawing>
            <wp:anchor distT="0" distB="0" distL="0" distR="0" simplePos="0" relativeHeight="487545856" behindDoc="1" locked="0" layoutInCell="1" allowOverlap="1" wp14:anchorId="4520657F" wp14:editId="06E29022">
              <wp:simplePos x="0" y="0"/>
              <wp:positionH relativeFrom="page">
                <wp:posOffset>3705225</wp:posOffset>
              </wp:positionH>
              <wp:positionV relativeFrom="page">
                <wp:posOffset>9952874</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5A2782C7" w14:textId="77777777" w:rsidR="00194D91" w:rsidRDefault="00F02D46">
                          <w:pPr>
                            <w:pStyle w:val="BodyText"/>
                            <w:spacing w:before="10"/>
                            <w:ind w:left="60" w:right="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520657F" id="_x0000_t202" coordsize="21600,21600" o:spt="202" path="m,l,21600r21600,l21600,xe">
              <v:stroke joinstyle="miter"/>
              <v:path gradientshapeok="t" o:connecttype="rect"/>
            </v:shapetype>
            <v:shape id="Textbox 1" o:spid="_x0000_s1026" type="#_x0000_t202" style="position:absolute;margin-left:291.75pt;margin-top:783.7pt;width:12.5pt;height:14.2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" filled="f" stroked="f">
              <v:textbox inset="0,0,0,0">
                <w:txbxContent>
                  <w:p w14:paraId="5A2782C7" w14:textId="77777777" w:rsidR="00194D91" w:rsidRDefault="00F02D46">
                    <w:pPr>
                      <w:pStyle w:val="BodyText"/>
                      <w:spacing w:before="10"/>
                      <w:ind w:left="60" w:right="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546368" behindDoc="1" locked="0" layoutInCell="1" allowOverlap="1" wp14:anchorId="3CC01768" wp14:editId="304ECD52">
              <wp:simplePos x="0" y="0"/>
              <wp:positionH relativeFrom="page">
                <wp:posOffset>4958704</wp:posOffset>
              </wp:positionH>
              <wp:positionV relativeFrom="page">
                <wp:posOffset>10110985</wp:posOffset>
              </wp:positionV>
              <wp:extent cx="169672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6720" cy="138430"/>
                      </a:xfrm>
                      <a:prstGeom prst="rect">
                        <a:avLst/>
                      </a:prstGeom>
                    </wps:spPr>
                    <wps:txbx>
                      <w:txbxContent>
                        <w:p w14:paraId="41CBB001" w14:textId="77777777" w:rsidR="00194D91" w:rsidRDefault="00F02D46">
                          <w:pPr>
                            <w:spacing w:before="13"/>
                            <w:ind w:left="20"/>
                            <w:rPr>
                              <w:sz w:val="16"/>
                            </w:rPr>
                          </w:pPr>
                          <w:r>
                            <w:rPr>
                              <w:sz w:val="16"/>
                            </w:rPr>
                            <w:t>IR018-108/M149176-340239573-</w:t>
                          </w:r>
                          <w:r>
                            <w:rPr>
                              <w:spacing w:val="-2"/>
                              <w:sz w:val="16"/>
                            </w:rPr>
                            <w:t>2678/1</w:t>
                          </w:r>
                        </w:p>
                      </w:txbxContent>
                    </wps:txbx>
                    <wps:bodyPr wrap="square" lIns="0" tIns="0" rIns="0" bIns="0" rtlCol="0">
                      <a:noAutofit/>
                    </wps:bodyPr>
                  </wps:wsp>
                </a:graphicData>
              </a:graphic>
            </wp:anchor>
          </w:drawing>
        </mc:Choice>
        <mc:Fallback>
          <w:pict>
            <v:shape w14:anchorId="3CC01768" id="Textbox 2" o:spid="_x0000_s1027" type="#_x0000_t202" style="position:absolute;margin-left:390.45pt;margin-top:796.15pt;width:133.6pt;height:10.9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" filled="f" stroked="f">
              <v:textbox inset="0,0,0,0">
                <w:txbxContent>
                  <w:p w14:paraId="41CBB001" w14:textId="77777777" w:rsidR="00194D91" w:rsidRDefault="00F02D46">
                    <w:pPr>
                      <w:spacing w:before="13"/>
                      <w:ind w:left="20"/>
                      <w:rPr>
                        <w:sz w:val="16"/>
                      </w:rPr>
                    </w:pPr>
                    <w:r>
                      <w:rPr>
                        <w:sz w:val="16"/>
                      </w:rPr>
                      <w:t>IR018-108/M149176-340239573-</w:t>
                    </w:r>
                    <w:r>
                      <w:rPr>
                        <w:spacing w:val="-2"/>
                        <w:sz w:val="16"/>
                      </w:rPr>
                      <w:t>2678/1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1835" w14:textId="77777777" w:rsidR="00EA2506" w:rsidRDefault="00EA2506">
      <w:r>
        <w:separator/>
      </w:r>
    </w:p>
  </w:footnote>
  <w:footnote w:type="continuationSeparator" w:id="0">
    <w:p w14:paraId="78BA024F" w14:textId="77777777" w:rsidR="00EA2506" w:rsidRDefault="00EA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4319C"/>
    <w:multiLevelType w:val="hybridMultilevel"/>
    <w:tmpl w:val="B1FEE822"/>
    <w:lvl w:ilvl="0" w:tplc="E9A874E8">
      <w:start w:val="1"/>
      <w:numFmt w:val="lowerLetter"/>
      <w:lvlText w:val="(%1)"/>
      <w:lvlJc w:val="left"/>
      <w:pPr>
        <w:ind w:left="154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669A7B02">
      <w:numFmt w:val="bullet"/>
      <w:lvlText w:val="•"/>
      <w:lvlJc w:val="left"/>
      <w:pPr>
        <w:ind w:left="2310" w:hanging="720"/>
      </w:pPr>
      <w:rPr>
        <w:rFonts w:hint="default"/>
        <w:lang w:val="en-US" w:eastAsia="en-US" w:bidi="ar-SA"/>
      </w:rPr>
    </w:lvl>
    <w:lvl w:ilvl="2" w:tplc="697E959A">
      <w:numFmt w:val="bullet"/>
      <w:lvlText w:val="•"/>
      <w:lvlJc w:val="left"/>
      <w:pPr>
        <w:ind w:left="3080" w:hanging="720"/>
      </w:pPr>
      <w:rPr>
        <w:rFonts w:hint="default"/>
        <w:lang w:val="en-US" w:eastAsia="en-US" w:bidi="ar-SA"/>
      </w:rPr>
    </w:lvl>
    <w:lvl w:ilvl="3" w:tplc="9CEEC516">
      <w:numFmt w:val="bullet"/>
      <w:lvlText w:val="•"/>
      <w:lvlJc w:val="left"/>
      <w:pPr>
        <w:ind w:left="3850" w:hanging="720"/>
      </w:pPr>
      <w:rPr>
        <w:rFonts w:hint="default"/>
        <w:lang w:val="en-US" w:eastAsia="en-US" w:bidi="ar-SA"/>
      </w:rPr>
    </w:lvl>
    <w:lvl w:ilvl="4" w:tplc="7B84EB64">
      <w:numFmt w:val="bullet"/>
      <w:lvlText w:val="•"/>
      <w:lvlJc w:val="left"/>
      <w:pPr>
        <w:ind w:left="4620" w:hanging="720"/>
      </w:pPr>
      <w:rPr>
        <w:rFonts w:hint="default"/>
        <w:lang w:val="en-US" w:eastAsia="en-US" w:bidi="ar-SA"/>
      </w:rPr>
    </w:lvl>
    <w:lvl w:ilvl="5" w:tplc="1C10F9F8">
      <w:numFmt w:val="bullet"/>
      <w:lvlText w:val="•"/>
      <w:lvlJc w:val="left"/>
      <w:pPr>
        <w:ind w:left="5390" w:hanging="720"/>
      </w:pPr>
      <w:rPr>
        <w:rFonts w:hint="default"/>
        <w:lang w:val="en-US" w:eastAsia="en-US" w:bidi="ar-SA"/>
      </w:rPr>
    </w:lvl>
    <w:lvl w:ilvl="6" w:tplc="57A002FA">
      <w:numFmt w:val="bullet"/>
      <w:lvlText w:val="•"/>
      <w:lvlJc w:val="left"/>
      <w:pPr>
        <w:ind w:left="6160" w:hanging="720"/>
      </w:pPr>
      <w:rPr>
        <w:rFonts w:hint="default"/>
        <w:lang w:val="en-US" w:eastAsia="en-US" w:bidi="ar-SA"/>
      </w:rPr>
    </w:lvl>
    <w:lvl w:ilvl="7" w:tplc="B30EB20E">
      <w:numFmt w:val="bullet"/>
      <w:lvlText w:val="•"/>
      <w:lvlJc w:val="left"/>
      <w:pPr>
        <w:ind w:left="6930" w:hanging="720"/>
      </w:pPr>
      <w:rPr>
        <w:rFonts w:hint="default"/>
        <w:lang w:val="en-US" w:eastAsia="en-US" w:bidi="ar-SA"/>
      </w:rPr>
    </w:lvl>
    <w:lvl w:ilvl="8" w:tplc="6082E60C">
      <w:numFmt w:val="bullet"/>
      <w:lvlText w:val="•"/>
      <w:lvlJc w:val="left"/>
      <w:pPr>
        <w:ind w:left="7700" w:hanging="720"/>
      </w:pPr>
      <w:rPr>
        <w:rFonts w:hint="default"/>
        <w:lang w:val="en-US" w:eastAsia="en-US" w:bidi="ar-SA"/>
      </w:rPr>
    </w:lvl>
  </w:abstractNum>
  <w:abstractNum w:abstractNumId="1" w15:restartNumberingAfterBreak="0">
    <w:nsid w:val="3B270F0C"/>
    <w:multiLevelType w:val="multilevel"/>
    <w:tmpl w:val="459854A6"/>
    <w:lvl w:ilvl="0">
      <w:start w:val="1"/>
      <w:numFmt w:val="decimal"/>
      <w:lvlText w:val="%1."/>
      <w:lvlJc w:val="left"/>
      <w:pPr>
        <w:ind w:left="82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54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26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3132" w:hanging="720"/>
      </w:pPr>
      <w:rPr>
        <w:rFonts w:hint="default"/>
        <w:lang w:val="en-US" w:eastAsia="en-US" w:bidi="ar-SA"/>
      </w:rPr>
    </w:lvl>
    <w:lvl w:ilvl="4">
      <w:numFmt w:val="bullet"/>
      <w:lvlText w:val="•"/>
      <w:lvlJc w:val="left"/>
      <w:pPr>
        <w:ind w:left="4005" w:hanging="720"/>
      </w:pPr>
      <w:rPr>
        <w:rFonts w:hint="default"/>
        <w:lang w:val="en-US" w:eastAsia="en-US" w:bidi="ar-SA"/>
      </w:rPr>
    </w:lvl>
    <w:lvl w:ilvl="5">
      <w:numFmt w:val="bullet"/>
      <w:lvlText w:val="•"/>
      <w:lvlJc w:val="left"/>
      <w:pPr>
        <w:ind w:left="4877" w:hanging="720"/>
      </w:pPr>
      <w:rPr>
        <w:rFonts w:hint="default"/>
        <w:lang w:val="en-US" w:eastAsia="en-US" w:bidi="ar-SA"/>
      </w:rPr>
    </w:lvl>
    <w:lvl w:ilvl="6">
      <w:numFmt w:val="bullet"/>
      <w:lvlText w:val="•"/>
      <w:lvlJc w:val="left"/>
      <w:pPr>
        <w:ind w:left="5750" w:hanging="720"/>
      </w:pPr>
      <w:rPr>
        <w:rFonts w:hint="default"/>
        <w:lang w:val="en-US" w:eastAsia="en-US" w:bidi="ar-SA"/>
      </w:rPr>
    </w:lvl>
    <w:lvl w:ilvl="7">
      <w:numFmt w:val="bullet"/>
      <w:lvlText w:val="•"/>
      <w:lvlJc w:val="left"/>
      <w:pPr>
        <w:ind w:left="6622" w:hanging="720"/>
      </w:pPr>
      <w:rPr>
        <w:rFonts w:hint="default"/>
        <w:lang w:val="en-US" w:eastAsia="en-US" w:bidi="ar-SA"/>
      </w:rPr>
    </w:lvl>
    <w:lvl w:ilvl="8">
      <w:numFmt w:val="bullet"/>
      <w:lvlText w:val="•"/>
      <w:lvlJc w:val="left"/>
      <w:pPr>
        <w:ind w:left="7495" w:hanging="720"/>
      </w:pPr>
      <w:rPr>
        <w:rFonts w:hint="default"/>
        <w:lang w:val="en-US" w:eastAsia="en-US" w:bidi="ar-SA"/>
      </w:rPr>
    </w:lvl>
  </w:abstractNum>
  <w:num w:numId="1" w16cid:durableId="532770397">
    <w:abstractNumId w:val="1"/>
  </w:num>
  <w:num w:numId="2" w16cid:durableId="186444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91"/>
    <w:rsid w:val="00194D91"/>
    <w:rsid w:val="0026658C"/>
    <w:rsid w:val="00466291"/>
    <w:rsid w:val="007B66E3"/>
    <w:rsid w:val="00837D11"/>
    <w:rsid w:val="00A37E8C"/>
    <w:rsid w:val="00AD4C56"/>
    <w:rsid w:val="00B6692F"/>
    <w:rsid w:val="00B9199E"/>
    <w:rsid w:val="00BF12A6"/>
    <w:rsid w:val="00D226D7"/>
    <w:rsid w:val="00E1069B"/>
    <w:rsid w:val="00EA2506"/>
    <w:rsid w:val="00F02D46"/>
    <w:rsid w:val="00F64847"/>
    <w:rsid w:val="00FE03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2EAD"/>
  <w15:docId w15:val="{3345F6CA-030F-477E-8931-1D7E898F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8"/>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7"/>
      <w:ind w:left="100" w:right="117"/>
      <w:jc w:val="both"/>
    </w:pPr>
  </w:style>
  <w:style w:type="paragraph" w:styleId="ListParagraph">
    <w:name w:val="List Paragraph"/>
    <w:basedOn w:val="Normal"/>
    <w:uiPriority w:val="1"/>
    <w:qFormat/>
    <w:pPr>
      <w:spacing w:before="219"/>
      <w:ind w:left="820" w:right="117" w:hanging="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658C"/>
    <w:rPr>
      <w:color w:val="0000FF" w:themeColor="hyperlink"/>
      <w:u w:val="single"/>
    </w:rPr>
  </w:style>
  <w:style w:type="character" w:styleId="UnresolvedMention">
    <w:name w:val="Unresolved Mention"/>
    <w:basedOn w:val="DefaultParagraphFont"/>
    <w:uiPriority w:val="99"/>
    <w:semiHidden/>
    <w:unhideWhenUsed/>
    <w:rsid w:val="0026658C"/>
    <w:rPr>
      <w:color w:val="605E5C"/>
      <w:shd w:val="clear" w:color="auto" w:fill="E1DFDD"/>
    </w:rPr>
  </w:style>
  <w:style w:type="character" w:styleId="FollowedHyperlink">
    <w:name w:val="FollowedHyperlink"/>
    <w:basedOn w:val="DefaultParagraphFont"/>
    <w:uiPriority w:val="99"/>
    <w:semiHidden/>
    <w:unhideWhenUsed/>
    <w:rsid w:val="004662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insurancelink.insuranceireland.eu/wp-content/uploads/2022/07/C_C9631.pdf" TargetMode="External"/><Relationship Id="rId13" Type="http://schemas.openxmlformats.org/officeDocument/2006/relationships/hyperlink" Target="https://insurancelink.insuranceireland.eu/" TargetMode="External"/><Relationship Id="rId3" Type="http://schemas.openxmlformats.org/officeDocument/2006/relationships/settings" Target="settings.xml"/><Relationship Id="rId7" Type="http://schemas.openxmlformats.org/officeDocument/2006/relationships/hyperlink" Target="https://insuranceireland.eu/about-us/data-protection-guidance/data-protection-guidance-2024/" TargetMode="External"/><Relationship Id="rId12" Type="http://schemas.openxmlformats.org/officeDocument/2006/relationships/hyperlink" Target="https://insuranceireland.eu/member-services/shared-servi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urancelink.insuranceireland.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suranceireland.eu/member-services/shared-services/" TargetMode="External"/><Relationship Id="rId4" Type="http://schemas.openxmlformats.org/officeDocument/2006/relationships/webSettings" Target="webSettings.xml"/><Relationship Id="rId9" Type="http://schemas.openxmlformats.org/officeDocument/2006/relationships/hyperlink" Target="https://insurancelink.insuranceireland.eu/self-insure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InsuranceLink Criteria for Access</dc:title>
  <dc:creator>Ciara</dc:creator>
  <cp:lastModifiedBy>Paul Holohan</cp:lastModifiedBy>
  <cp:revision>3</cp:revision>
  <dcterms:created xsi:type="dcterms:W3CDTF">2025-12-09T15:21:00Z</dcterms:created>
  <dcterms:modified xsi:type="dcterms:W3CDTF">2025-12-09T15:32:00Z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Pages</vt:lpwstr>
  </property>
  <property fmtid="{D5CDD505-2E9C-101B-9397-08002B2CF9AE}" pid="4" name="LastSaved">
    <vt:filetime>2025-10-21T00:00:00Z</vt:filetime>
  </property>
  <property fmtid="{D5CDD505-2E9C-101B-9397-08002B2CF9AE}" pid="5" name="Producer">
    <vt:lpwstr>macOS Version 14.6.1 (Build 23G93) Quartz PDFContext</vt:lpwstr>
  </property>
</Properties>
</file>